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bl>
      <w:tblPr>
        <w:tblStyle w:val="Table1"/>
        <w:tblW w:w="9907.0" w:type="dxa"/>
        <w:jc w:val="left"/>
        <w:tblInd w:w="-284.0" w:type="dxa"/>
        <w:tblBorders>
          <w:top w:color="000000" w:space="0" w:sz="24" w:val="single"/>
          <w:left w:color="000000" w:space="0" w:sz="24" w:val="single"/>
          <w:bottom w:color="000000" w:space="0" w:sz="24" w:val="single"/>
          <w:right w:color="000000" w:space="0" w:sz="24" w:val="single"/>
          <w:insideH w:color="000000" w:space="0" w:sz="0" w:val="nil"/>
          <w:insideV w:color="000000" w:space="0" w:sz="0" w:val="nil"/>
        </w:tblBorders>
        <w:tblLayout w:type="fixed"/>
        <w:tblLook w:val="0000"/>
      </w:tblPr>
      <w:tblGrid>
        <w:gridCol w:w="9907"/>
        <w:tblGridChange w:id="0">
          <w:tblGrid>
            <w:gridCol w:w="9907"/>
          </w:tblGrid>
        </w:tblGridChange>
      </w:tblGrid>
      <w:tr>
        <w:trPr>
          <w:cantSplit w:val="0"/>
          <w:trHeight w:val="15170" w:hRule="atLeast"/>
          <w:tblHeader w:val="0"/>
        </w:trPr>
        <w:tc>
          <w:tcPr>
            <w:vAlign w:val="top"/>
          </w:tcPr>
          <w:p w:rsidR="00000000" w:rsidDel="00000000" w:rsidP="00000000" w:rsidRDefault="00000000" w:rsidRPr="00000000" w14:paraId="00000002">
            <w:pPr>
              <w:spacing w:after="0" w:before="240" w:line="240" w:lineRule="auto"/>
              <w:jc w:val="center"/>
              <w:rPr>
                <w:rFonts w:ascii="Times New Roman" w:cs="Times New Roman" w:eastAsia="Times New Roman" w:hAnsi="Times New Roman"/>
                <w:b w:val="0"/>
                <w:bCs w:val="0"/>
                <w:sz w:val="26"/>
                <w:szCs w:val="26"/>
                <w:vertAlign w:val="baseline"/>
              </w:rPr>
            </w:pPr>
            <w:r w:rsidDel="00000000" w:rsidR="00000000" w:rsidRPr="00000000">
              <w:rPr>
                <w:rtl w:val="0"/>
              </w:rPr>
            </w:r>
          </w:p>
          <w:p w:rsidR="00000000" w:rsidDel="00000000" w:rsidP="00000000" w:rsidRDefault="00000000" w:rsidRPr="00000000" w14:paraId="00000003">
            <w:pPr>
              <w:spacing w:after="0" w:before="240" w:line="24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PHỤ LỤC HỒ SƠ BỔ SUNG</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0"/>
                <w:bCs w:val="0"/>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DỰ TUYỂN HỌC BỔNG ĐI HỌC TẠI HUNG-GA-RI NĂM 2026</w:t>
            </w:r>
            <w:r w:rsidDel="00000000" w:rsidR="00000000" w:rsidRPr="00000000">
              <w:rPr>
                <w:rtl w:val="0"/>
              </w:rPr>
            </w:r>
          </w:p>
          <w:p w:rsidR="00000000" w:rsidDel="00000000" w:rsidP="00000000" w:rsidRDefault="00000000" w:rsidRPr="00000000" w14:paraId="00000005">
            <w:pPr>
              <w:spacing w:after="360" w:line="240" w:lineRule="auto"/>
              <w:jc w:val="center"/>
              <w:rPr>
                <w:rFonts w:ascii="Times New Roman" w:cs="Times New Roman" w:eastAsia="Times New Roman" w:hAnsi="Times New Roman"/>
                <w:i w:val="0"/>
                <w:iCs w:val="0"/>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(Theo thông báo số 2362</w:t>
            </w:r>
            <w:r w:rsidDel="00000000" w:rsidR="00000000" w:rsidRPr="00000000">
              <w:rPr>
                <w:rFonts w:ascii="Times New Roman" w:cs="Times New Roman" w:eastAsia="Times New Roman" w:hAnsi="Times New Roman"/>
                <w:b w:val="1"/>
                <w:bCs w:val="1"/>
                <w:i w:val="1"/>
                <w:iCs w:val="1"/>
                <w:sz w:val="26"/>
                <w:szCs w:val="26"/>
                <w:vertAlign w:val="baseline"/>
                <w:rtl w:val="0"/>
              </w:rPr>
              <w:t xml:space="preserve">/</w:t>
            </w:r>
            <w:r w:rsidDel="00000000" w:rsidR="00000000" w:rsidRPr="00000000">
              <w:rPr>
                <w:rFonts w:ascii="Times New Roman" w:cs="Times New Roman" w:eastAsia="Times New Roman" w:hAnsi="Times New Roman"/>
                <w:i w:val="1"/>
                <w:iCs w:val="1"/>
                <w:sz w:val="26"/>
                <w:szCs w:val="26"/>
                <w:vertAlign w:val="baseline"/>
                <w:rtl w:val="0"/>
              </w:rPr>
              <w:t xml:space="preserve">TB-BGDĐT ngày 23/12/2025)</w:t>
            </w:r>
            <w:r w:rsidDel="00000000" w:rsidR="00000000" w:rsidRPr="00000000">
              <w:rPr>
                <w:rtl w:val="0"/>
              </w:rPr>
            </w:r>
          </w:p>
          <w:p w:rsidR="00000000" w:rsidDel="00000000" w:rsidP="00000000" w:rsidRDefault="00000000" w:rsidRPr="00000000" w14:paraId="00000006">
            <w:pPr>
              <w:numPr>
                <w:ilvl w:val="0"/>
                <w:numId w:val="1"/>
              </w:numPr>
              <w:tabs>
                <w:tab w:val="left" w:leader="none" w:pos="464"/>
              </w:tabs>
              <w:spacing w:after="60" w:before="60" w:line="240" w:lineRule="auto"/>
              <w:ind w:left="180" w:hanging="3.999999999999986"/>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Công văn của cơ quan cử dự tuyển (đối với ứng viên đang công tác tại các cơ quan, doanh nghiệp nhà nước, cơ sở giáo dục).</w:t>
            </w:r>
          </w:p>
          <w:p w:rsidR="00000000" w:rsidDel="00000000" w:rsidP="00000000" w:rsidRDefault="00000000" w:rsidRPr="00000000" w14:paraId="00000007">
            <w:pPr>
              <w:tabs>
                <w:tab w:val="left" w:leader="none" w:pos="180"/>
              </w:tabs>
              <w:spacing w:after="60" w:before="60" w:line="240" w:lineRule="auto"/>
              <w:ind w:left="180"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Công văn của cơ quan đề cử dự tuyển (đối với các ứng viên do bộ, ngành, địa phương, doanh nghiệp nhà nước đề cử nhằm phát triển nguồn nhân lực cho bộ, ngành, địa phương, doanh nghiệp nhà nước và nhận trở về công tác sau tốt nghiệp).</w:t>
            </w:r>
          </w:p>
          <w:p w:rsidR="00000000" w:rsidDel="00000000" w:rsidP="00000000" w:rsidRDefault="00000000" w:rsidRPr="00000000" w14:paraId="00000008">
            <w:pPr>
              <w:tabs>
                <w:tab w:val="left" w:leader="none" w:pos="464"/>
              </w:tabs>
              <w:spacing w:after="60" w:before="60" w:line="24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3. Bản sao công chứng giấy khai sinh (đối với ứng viên là người dân tộc thiểu số).</w:t>
            </w:r>
          </w:p>
          <w:p w:rsidR="00000000" w:rsidDel="00000000" w:rsidP="00000000" w:rsidRDefault="00000000" w:rsidRPr="00000000" w14:paraId="00000009">
            <w:pPr>
              <w:tabs>
                <w:tab w:val="left" w:leader="none" w:pos="210"/>
              </w:tabs>
              <w:spacing w:after="60" w:before="60" w:line="240" w:lineRule="auto"/>
              <w:ind w:left="210"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4. Bản sao công chứng xác nhận của cơ quan có thẩm quyền đối với ứng viên thuộc hộ nghèo, ứng viên đang cư trú tại khu vực miền núi và hải đảo.</w:t>
            </w:r>
          </w:p>
          <w:p w:rsidR="00000000" w:rsidDel="00000000" w:rsidP="00000000" w:rsidRDefault="00000000" w:rsidRPr="00000000" w14:paraId="0000000A">
            <w:pPr>
              <w:tabs>
                <w:tab w:val="left" w:leader="none" w:pos="180"/>
              </w:tabs>
              <w:spacing w:after="60" w:before="60" w:line="240" w:lineRule="auto"/>
              <w:ind w:left="180"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5. Văn bản của ĐSQ Việt Nam tại Hung-ga-ri xác nhận ứng viên là con cán bộ ngoại giao đang công tác tại Hung-ga-ri.</w:t>
            </w:r>
          </w:p>
          <w:p w:rsidR="00000000" w:rsidDel="00000000" w:rsidP="00000000" w:rsidRDefault="00000000" w:rsidRPr="00000000" w14:paraId="0000000B">
            <w:pPr>
              <w:tabs>
                <w:tab w:val="left" w:leader="none" w:pos="770"/>
              </w:tabs>
              <w:spacing w:after="60" w:before="60" w:line="240" w:lineRule="auto"/>
              <w:ind w:left="460" w:hanging="284"/>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5"/>
                <w:szCs w:val="25"/>
                <w:vertAlign w:val="baseline"/>
                <w:rtl w:val="0"/>
              </w:rPr>
              <w:t xml:space="preserve">6. </w:t>
            </w:r>
            <w:r w:rsidDel="00000000" w:rsidR="00000000" w:rsidRPr="00000000">
              <w:rPr>
                <w:rFonts w:ascii="Times New Roman" w:cs="Times New Roman" w:eastAsia="Times New Roman" w:hAnsi="Times New Roman"/>
                <w:sz w:val="28"/>
                <w:szCs w:val="28"/>
                <w:vertAlign w:val="baseline"/>
                <w:rtl w:val="0"/>
              </w:rPr>
              <w:t xml:space="preserve">Bản sao công chứng bằng khen, giấy khen, giấy tờ chứng nhận các giải thưởng.</w:t>
            </w:r>
          </w:p>
          <w:p w:rsidR="00000000" w:rsidDel="00000000" w:rsidP="00000000" w:rsidRDefault="00000000" w:rsidRPr="00000000" w14:paraId="0000000C">
            <w:pPr>
              <w:spacing w:after="120" w:before="120" w:line="240" w:lineRule="auto"/>
              <w:jc w:val="both"/>
              <w:rPr>
                <w:rFonts w:ascii="Times New Roman" w:cs="Times New Roman" w:eastAsia="Times New Roman" w:hAnsi="Times New Roman"/>
                <w:b w:val="0"/>
                <w:bCs w:val="0"/>
                <w:i w:val="0"/>
                <w:iCs w:val="0"/>
                <w:sz w:val="28"/>
                <w:szCs w:val="28"/>
                <w:u w:val="single"/>
                <w:vertAlign w:val="baseline"/>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0"/>
                <w:bCs w:val="0"/>
                <w:sz w:val="25"/>
                <w:szCs w:val="25"/>
                <w:vertAlign w:val="baseline"/>
              </w:rPr>
            </w:pPr>
            <w:r w:rsidDel="00000000" w:rsidR="00000000" w:rsidRPr="00000000">
              <w:rPr>
                <w:rtl w:val="0"/>
              </w:rPr>
            </w:r>
          </w:p>
        </w:tc>
      </w:tr>
    </w:tbl>
    <w:p w:rsidR="00000000" w:rsidDel="00000000" w:rsidP="00000000" w:rsidRDefault="00000000" w:rsidRPr="00000000" w14:paraId="0000000E">
      <w:pPr>
        <w:rPr>
          <w:vertAlign w:val="baseline"/>
        </w:rPr>
      </w:pPr>
      <w:r w:rsidDel="00000000" w:rsidR="00000000" w:rsidRPr="00000000">
        <w:rPr>
          <w:rtl w:val="0"/>
        </w:rPr>
      </w:r>
    </w:p>
    <w:sectPr>
      <w:pgSz w:h="16840" w:w="11907" w:orient="portrait"/>
      <w:pgMar w:bottom="0" w:top="851" w:left="1440" w:right="1151" w:header="720" w:footer="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36" w:hanging="360"/>
      </w:pPr>
      <w:rPr>
        <w:vertAlign w:val="baseline"/>
      </w:rPr>
    </w:lvl>
    <w:lvl w:ilvl="1">
      <w:start w:val="1"/>
      <w:numFmt w:val="lowerLetter"/>
      <w:lvlText w:val="%2."/>
      <w:lvlJc w:val="left"/>
      <w:pPr>
        <w:ind w:left="1256" w:hanging="360"/>
      </w:pPr>
      <w:rPr>
        <w:vertAlign w:val="baseline"/>
      </w:rPr>
    </w:lvl>
    <w:lvl w:ilvl="2">
      <w:start w:val="1"/>
      <w:numFmt w:val="lowerRoman"/>
      <w:lvlText w:val="%3."/>
      <w:lvlJc w:val="right"/>
      <w:pPr>
        <w:ind w:left="1976" w:hanging="180"/>
      </w:pPr>
      <w:rPr>
        <w:vertAlign w:val="baseline"/>
      </w:rPr>
    </w:lvl>
    <w:lvl w:ilvl="3">
      <w:start w:val="1"/>
      <w:numFmt w:val="decimal"/>
      <w:lvlText w:val="%4."/>
      <w:lvlJc w:val="left"/>
      <w:pPr>
        <w:ind w:left="2696" w:hanging="360"/>
      </w:pPr>
      <w:rPr>
        <w:vertAlign w:val="baseline"/>
      </w:rPr>
    </w:lvl>
    <w:lvl w:ilvl="4">
      <w:start w:val="1"/>
      <w:numFmt w:val="lowerLetter"/>
      <w:lvlText w:val="%5."/>
      <w:lvlJc w:val="left"/>
      <w:pPr>
        <w:ind w:left="3416" w:hanging="360"/>
      </w:pPr>
      <w:rPr>
        <w:vertAlign w:val="baseline"/>
      </w:rPr>
    </w:lvl>
    <w:lvl w:ilvl="5">
      <w:start w:val="1"/>
      <w:numFmt w:val="lowerRoman"/>
      <w:lvlText w:val="%6."/>
      <w:lvlJc w:val="right"/>
      <w:pPr>
        <w:ind w:left="4136" w:hanging="180"/>
      </w:pPr>
      <w:rPr>
        <w:vertAlign w:val="baseline"/>
      </w:rPr>
    </w:lvl>
    <w:lvl w:ilvl="6">
      <w:start w:val="1"/>
      <w:numFmt w:val="decimal"/>
      <w:lvlText w:val="%7."/>
      <w:lvlJc w:val="left"/>
      <w:pPr>
        <w:ind w:left="4856" w:hanging="360"/>
      </w:pPr>
      <w:rPr>
        <w:vertAlign w:val="baseline"/>
      </w:rPr>
    </w:lvl>
    <w:lvl w:ilvl="7">
      <w:start w:val="1"/>
      <w:numFmt w:val="lowerLetter"/>
      <w:lvlText w:val="%8."/>
      <w:lvlJc w:val="left"/>
      <w:pPr>
        <w:ind w:left="5576" w:hanging="360"/>
      </w:pPr>
      <w:rPr>
        <w:vertAlign w:val="baseline"/>
      </w:rPr>
    </w:lvl>
    <w:lvl w:ilvl="8">
      <w:start w:val="1"/>
      <w:numFmt w:val="lowerRoman"/>
      <w:lvlText w:val="%9."/>
      <w:lvlJc w:val="right"/>
      <w:pPr>
        <w:ind w:left="6296"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en-US" w:val="und"/>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rv9OymWVeaeBd5BEniDhw0ag==">CgMxLjA4AHIhMUZHQnYyZF9mRzNOTzljZFg5QXlMX3JqTmtJbmd0RHBI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2015-12-15T02:05:00Z</dcterms:created>
  <dc:creator>Long</dc:creator>
</cp:coreProperties>
</file>